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BC84C2" w14:textId="77777777" w:rsidR="00E53716" w:rsidRDefault="00163CBF">
      <w:pPr>
        <w:rPr>
          <w:rFonts w:ascii="仿宋" w:eastAsia="仿宋" w:hAnsi="仿宋"/>
          <w:sz w:val="32"/>
          <w:szCs w:val="32"/>
        </w:rPr>
      </w:pPr>
      <w:r>
        <w:rPr>
          <w:rFonts w:ascii="仿宋" w:eastAsia="仿宋" w:hAnsi="仿宋" w:hint="eastAsia"/>
          <w:sz w:val="32"/>
          <w:szCs w:val="32"/>
        </w:rPr>
        <w:t>附件2.</w:t>
      </w:r>
    </w:p>
    <w:p w14:paraId="143DD155" w14:textId="77777777" w:rsidR="00E53716" w:rsidRDefault="00163CBF">
      <w:pPr>
        <w:jc w:val="center"/>
        <w:rPr>
          <w:rFonts w:ascii="方正小标宋简体" w:eastAsia="方正小标宋简体" w:hAnsi="SimHei"/>
          <w:sz w:val="44"/>
          <w:szCs w:val="44"/>
        </w:rPr>
      </w:pPr>
      <w:r>
        <w:rPr>
          <w:rFonts w:ascii="方正小标宋简体" w:eastAsia="方正小标宋简体" w:hAnsi="SimHei" w:hint="eastAsia"/>
          <w:sz w:val="44"/>
          <w:szCs w:val="44"/>
        </w:rPr>
        <w:t>选课常见问题</w:t>
      </w:r>
    </w:p>
    <w:p w14:paraId="22946EF7" w14:textId="77777777" w:rsidR="00E53716" w:rsidRPr="00C01837" w:rsidRDefault="00163CBF" w:rsidP="00C01837">
      <w:pPr>
        <w:adjustRightInd w:val="0"/>
        <w:snapToGrid w:val="0"/>
        <w:spacing w:after="0" w:line="560" w:lineRule="exact"/>
        <w:ind w:firstLineChars="200" w:firstLine="640"/>
        <w:outlineLvl w:val="1"/>
        <w:rPr>
          <w:rFonts w:ascii="SimHei" w:eastAsia="SimHei" w:hAnsi="SimHei" w:cs="Times New Roman"/>
          <w:sz w:val="32"/>
          <w:szCs w:val="32"/>
        </w:rPr>
      </w:pPr>
      <w:r w:rsidRPr="00C01837">
        <w:rPr>
          <w:rFonts w:ascii="SimHei" w:eastAsia="SimHei" w:hAnsi="SimHei" w:cs="Times New Roman" w:hint="eastAsia"/>
          <w:sz w:val="32"/>
          <w:szCs w:val="32"/>
        </w:rPr>
        <w:t>一、选课前的准备</w:t>
      </w:r>
    </w:p>
    <w:p w14:paraId="3371BF57"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选课通过中国政法大学研究生综合管理系统进行。选课前研究生应认真学习本专业培养方案，根据本人的培养方案选课。</w:t>
      </w:r>
    </w:p>
    <w:p w14:paraId="2DC63CA1"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（一）选课链接是什么？</w:t>
      </w:r>
    </w:p>
    <w:p w14:paraId="2910C608"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答：通过智慧法大，登录之后点击研究生系统，跳转到研究生综合管理系统。</w:t>
      </w:r>
    </w:p>
    <w:p w14:paraId="0389D6B5"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（二）用户名和密码是什么？</w:t>
      </w:r>
    </w:p>
    <w:p w14:paraId="59FEA143"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答：通过智慧法大登录，账号是学号，初始密码是身份证号后六位, 通过智慧法大直接跳转研究生系统，</w:t>
      </w:r>
      <w:r w:rsidRPr="00C01837">
        <w:rPr>
          <w:rFonts w:ascii="仿宋" w:eastAsia="仿宋" w:hAnsi="仿宋" w:cs="Times New Roman"/>
          <w:sz w:val="32"/>
          <w:szCs w:val="32"/>
        </w:rPr>
        <w:t>无需再</w:t>
      </w:r>
      <w:r w:rsidRPr="00C01837">
        <w:rPr>
          <w:rFonts w:ascii="仿宋" w:eastAsia="仿宋" w:hAnsi="仿宋" w:cs="Times New Roman" w:hint="eastAsia"/>
          <w:sz w:val="32"/>
          <w:szCs w:val="32"/>
        </w:rPr>
        <w:t>登录。如智慧法大密码忘记，可以登录企业微信后，进行智慧法大密码自助找回。</w:t>
      </w:r>
    </w:p>
    <w:p w14:paraId="187D7A6F"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（三）有预选和正选之分吗？</w:t>
      </w:r>
    </w:p>
    <w:p w14:paraId="20CEA7CD"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答：选课就是正选。</w:t>
      </w:r>
    </w:p>
    <w:p w14:paraId="33083525"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（四）只能用电脑登录选课系统吗？</w:t>
      </w:r>
    </w:p>
    <w:p w14:paraId="5CEBA5D4"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答：任何能联网的可移动设备都可以访问。</w:t>
      </w:r>
    </w:p>
    <w:p w14:paraId="5745AA9A" w14:textId="77777777" w:rsidR="00E53716" w:rsidRPr="00C01837" w:rsidRDefault="00163CBF" w:rsidP="00C01837">
      <w:pPr>
        <w:adjustRightInd w:val="0"/>
        <w:snapToGrid w:val="0"/>
        <w:spacing w:after="0" w:line="560" w:lineRule="exact"/>
        <w:ind w:firstLineChars="200" w:firstLine="640"/>
        <w:outlineLvl w:val="1"/>
        <w:rPr>
          <w:rFonts w:ascii="SimHei" w:eastAsia="SimHei" w:hAnsi="SimHei" w:cs="Times New Roman"/>
          <w:sz w:val="32"/>
          <w:szCs w:val="32"/>
        </w:rPr>
      </w:pPr>
      <w:r w:rsidRPr="00C01837">
        <w:rPr>
          <w:rFonts w:ascii="SimHei" w:eastAsia="SimHei" w:hAnsi="SimHei" w:cs="Times New Roman" w:hint="eastAsia"/>
          <w:sz w:val="32"/>
          <w:szCs w:val="32"/>
        </w:rPr>
        <w:t>二、需要选什么课</w:t>
      </w:r>
    </w:p>
    <w:p w14:paraId="26AEC810"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（一）培养方案在哪里可以找到？</w:t>
      </w:r>
    </w:p>
    <w:p w14:paraId="1A3DD9CB"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答：培养方案在研究生选课页面点击左侧“课程学习”，再点击“查看培养方案”。研究生也可以咨询所在学院研究生工作办公室。</w:t>
      </w:r>
    </w:p>
    <w:p w14:paraId="51D8FB44"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lastRenderedPageBreak/>
        <w:t>（二）对培养方案的内容有疑问向谁咨询？</w:t>
      </w:r>
    </w:p>
    <w:p w14:paraId="0C2C343A"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答：请联系研究生所在学院研究生工作办公室老师或本研究所或专业负责人。</w:t>
      </w:r>
    </w:p>
    <w:p w14:paraId="16DC445A"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（三）选几门课有要求吗？有最高和最低学分限制吗？</w:t>
      </w:r>
    </w:p>
    <w:p w14:paraId="1B36FBC7"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目前对选课门数和最高学分都没有限制，但需要提醒的是，根据教育部第41号令《普通高等学校学生管理规定》，学校应当健全学生学业成绩和学籍档案管理制度，真实、完整地记载、出具学生学业成绩，对通过补考、重修获得的成绩，应当予以标注。</w:t>
      </w:r>
    </w:p>
    <w:p w14:paraId="2765B4EC"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研究生在学期间修读的课程，如果没能通过考试或放弃考试的（成绩将按0分计入），系统中会真实记录成绩。</w:t>
      </w:r>
    </w:p>
    <w:p w14:paraId="03DA7AFC"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（四）第一学期可以先不选课吗？</w:t>
      </w:r>
    </w:p>
    <w:p w14:paraId="6FACC054"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有些学位课程是直接置入研究生课表的，如果不正常进行修读，可能会影响成绩单绩点，甚至因为学位课成绩在同一学期不及格门数超过《中国政法大学研究生课程设置与教学管理办法》的相关规定，导致终止学习资格。</w:t>
      </w:r>
    </w:p>
    <w:p w14:paraId="515B4BDA"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如果研究生无法在校正常参加教学活动，可以根据《中国政法大学研究生学籍管理规定》申请休学。</w:t>
      </w:r>
    </w:p>
    <w:p w14:paraId="3679D56B"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（五）学位课和限选课是直接置入课表不用选了吗？</w:t>
      </w:r>
    </w:p>
    <w:p w14:paraId="7AFD40EF"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答：因学位课和限选课存在分班授课情况，如果培养方案上规定的学位课和限选课没有提前置入，还需研究生根据具体情况进行选课。</w:t>
      </w:r>
    </w:p>
    <w:p w14:paraId="60B11393"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此外，读书报告、学期论文、课题研究、社会实践等类似的其他环节的课程都是研工办老师统一进行预置，研究生</w:t>
      </w:r>
      <w:r w:rsidRPr="00C01837">
        <w:rPr>
          <w:rFonts w:ascii="仿宋" w:eastAsia="仿宋" w:hAnsi="仿宋" w:cs="Times New Roman" w:hint="eastAsia"/>
          <w:sz w:val="32"/>
          <w:szCs w:val="32"/>
        </w:rPr>
        <w:lastRenderedPageBreak/>
        <w:t>不需要进行选课。</w:t>
      </w:r>
    </w:p>
    <w:p w14:paraId="0448C6E6" w14:textId="7777777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（六）什么样的课程是跨一级学科课程？</w:t>
      </w:r>
    </w:p>
    <w:p w14:paraId="77030685"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答：修读不同学科门类的课程就是修读了跨一级学科课程，研究生可以在选课页面看到课表标注的学科门类。</w:t>
      </w:r>
    </w:p>
    <w:p w14:paraId="4A1E1985"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修读学校开设的“跨学科课程”也属于修读跨一级学科课程。</w:t>
      </w:r>
      <w:r w:rsidRPr="00C01837">
        <w:rPr>
          <w:rFonts w:ascii="仿宋" w:eastAsia="仿宋" w:hAnsi="仿宋" w:cs="Times New Roman"/>
          <w:sz w:val="32"/>
          <w:szCs w:val="32"/>
        </w:rPr>
        <w:t xml:space="preserve"> </w:t>
      </w:r>
    </w:p>
    <w:p w14:paraId="7FC5F13C" w14:textId="77777777"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通过参加研究生运动会获得的学分为跨一级学科课程学分。</w:t>
      </w:r>
    </w:p>
    <w:p w14:paraId="05B38378" w14:textId="6BE6E662"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w:t>
      </w:r>
      <w:r w:rsidR="00D871AD">
        <w:rPr>
          <w:rFonts w:ascii="楷体" w:eastAsia="楷体" w:hAnsi="楷体" w:hint="eastAsia"/>
          <w:sz w:val="32"/>
          <w:szCs w:val="32"/>
        </w:rPr>
        <w:t>七</w:t>
      </w:r>
      <w:r w:rsidRPr="00C01837">
        <w:rPr>
          <w:rFonts w:ascii="楷体" w:eastAsia="楷体" w:hAnsi="楷体" w:hint="eastAsia"/>
          <w:sz w:val="32"/>
          <w:szCs w:val="32"/>
        </w:rPr>
        <w:t>）培养方案里规定了在本学期开设的选修课，在“选修课”课程课组里找不到怎么办？</w:t>
      </w:r>
    </w:p>
    <w:p w14:paraId="52C73F2D" w14:textId="45B269A4"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hint="eastAsia"/>
          <w:sz w:val="32"/>
          <w:szCs w:val="32"/>
        </w:rPr>
        <w:t>答：培养方案里的选修课各学院维护培养方案时，实际开课和维护的培养方案会有一定的出入，不一定是本学期开设，</w:t>
      </w:r>
      <w:r w:rsidR="009B162C" w:rsidRPr="00C01837">
        <w:rPr>
          <w:rFonts w:ascii="仿宋" w:eastAsia="仿宋" w:hAnsi="仿宋" w:cs="Times New Roman" w:hint="eastAsia"/>
          <w:sz w:val="32"/>
          <w:szCs w:val="32"/>
        </w:rPr>
        <w:t>如果课程课组里找不到，可能是所在学院没有将课程维护到培养方案的对应课程课组中或本学期没开课，请联系</w:t>
      </w:r>
      <w:r w:rsidRPr="00C01837">
        <w:rPr>
          <w:rFonts w:ascii="仿宋" w:eastAsia="仿宋" w:hAnsi="仿宋" w:cs="Times New Roman" w:hint="eastAsia"/>
          <w:sz w:val="32"/>
          <w:szCs w:val="32"/>
        </w:rPr>
        <w:t>所在学院研究生工作办公室老师或本研究所或专业负责人。</w:t>
      </w:r>
    </w:p>
    <w:p w14:paraId="40CF7E1C" w14:textId="59A06157" w:rsidR="00E53716" w:rsidRPr="00C01837" w:rsidRDefault="00163CBF" w:rsidP="00C01837">
      <w:pPr>
        <w:adjustRightInd w:val="0"/>
        <w:snapToGrid w:val="0"/>
        <w:spacing w:after="0" w:line="560" w:lineRule="exact"/>
        <w:ind w:firstLineChars="180" w:firstLine="576"/>
        <w:outlineLvl w:val="2"/>
        <w:rPr>
          <w:rFonts w:ascii="楷体" w:eastAsia="楷体" w:hAnsi="楷体"/>
          <w:sz w:val="32"/>
          <w:szCs w:val="32"/>
        </w:rPr>
      </w:pPr>
      <w:r w:rsidRPr="00C01837">
        <w:rPr>
          <w:rFonts w:ascii="楷体" w:eastAsia="楷体" w:hAnsi="楷体" w:hint="eastAsia"/>
          <w:sz w:val="32"/>
          <w:szCs w:val="32"/>
        </w:rPr>
        <w:t>（</w:t>
      </w:r>
      <w:r w:rsidR="00D871AD">
        <w:rPr>
          <w:rFonts w:ascii="楷体" w:eastAsia="楷体" w:hAnsi="楷体" w:hint="eastAsia"/>
          <w:sz w:val="32"/>
          <w:szCs w:val="32"/>
        </w:rPr>
        <w:t>八</w:t>
      </w:r>
      <w:r w:rsidRPr="00C01837">
        <w:rPr>
          <w:rFonts w:ascii="楷体" w:eastAsia="楷体" w:hAnsi="楷体" w:hint="eastAsia"/>
          <w:sz w:val="32"/>
          <w:szCs w:val="32"/>
        </w:rPr>
        <w:t>）培养方案里的课程没有标注开课学期，在选课页面的各课程组都找不到课程，怎么办？</w:t>
      </w:r>
    </w:p>
    <w:p w14:paraId="0C38D74D" w14:textId="4F0AD5E0" w:rsidR="00E53716" w:rsidRPr="00C01837" w:rsidRDefault="00163CBF" w:rsidP="00C01837">
      <w:pPr>
        <w:adjustRightInd w:val="0"/>
        <w:snapToGrid w:val="0"/>
        <w:spacing w:after="0" w:line="560" w:lineRule="exact"/>
        <w:ind w:firstLineChars="200" w:firstLine="640"/>
        <w:rPr>
          <w:rFonts w:ascii="仿宋" w:eastAsia="仿宋" w:hAnsi="仿宋" w:cs="Times New Roman"/>
          <w:sz w:val="32"/>
          <w:szCs w:val="32"/>
        </w:rPr>
      </w:pPr>
      <w:r w:rsidRPr="00C01837">
        <w:rPr>
          <w:rFonts w:ascii="仿宋" w:eastAsia="仿宋" w:hAnsi="仿宋" w:cs="Times New Roman"/>
          <w:sz w:val="32"/>
          <w:szCs w:val="32"/>
        </w:rPr>
        <w:t>答：</w:t>
      </w:r>
      <w:r w:rsidR="009B162C" w:rsidRPr="00C01837">
        <w:rPr>
          <w:rFonts w:ascii="仿宋" w:eastAsia="仿宋" w:hAnsi="仿宋" w:cs="Times New Roman" w:hint="eastAsia"/>
          <w:sz w:val="32"/>
          <w:szCs w:val="32"/>
        </w:rPr>
        <w:t>若</w:t>
      </w:r>
      <w:r w:rsidRPr="00C01837">
        <w:rPr>
          <w:rFonts w:ascii="仿宋" w:eastAsia="仿宋" w:hAnsi="仿宋" w:cs="Times New Roman"/>
          <w:sz w:val="32"/>
          <w:szCs w:val="32"/>
        </w:rPr>
        <w:t>选课</w:t>
      </w:r>
      <w:r w:rsidR="009B162C" w:rsidRPr="00C01837">
        <w:rPr>
          <w:rFonts w:ascii="仿宋" w:eastAsia="仿宋" w:hAnsi="仿宋" w:cs="Times New Roman" w:hint="eastAsia"/>
          <w:sz w:val="32"/>
          <w:szCs w:val="32"/>
        </w:rPr>
        <w:t>课程</w:t>
      </w:r>
      <w:r w:rsidRPr="00C01837">
        <w:rPr>
          <w:rFonts w:ascii="仿宋" w:eastAsia="仿宋" w:hAnsi="仿宋" w:cs="Times New Roman"/>
          <w:sz w:val="32"/>
          <w:szCs w:val="32"/>
        </w:rPr>
        <w:t>没能在</w:t>
      </w:r>
      <w:r w:rsidR="009B162C" w:rsidRPr="00C01837">
        <w:rPr>
          <w:rFonts w:ascii="仿宋" w:eastAsia="仿宋" w:hAnsi="仿宋" w:cs="Times New Roman" w:hint="eastAsia"/>
          <w:sz w:val="32"/>
          <w:szCs w:val="32"/>
        </w:rPr>
        <w:t>所属培养方案</w:t>
      </w:r>
      <w:r w:rsidRPr="00C01837">
        <w:rPr>
          <w:rFonts w:ascii="仿宋" w:eastAsia="仿宋" w:hAnsi="仿宋" w:cs="Times New Roman"/>
          <w:sz w:val="32"/>
          <w:szCs w:val="32"/>
        </w:rPr>
        <w:t>对应的课程课组里找到，可以</w:t>
      </w:r>
      <w:r w:rsidR="009B162C" w:rsidRPr="00C01837">
        <w:rPr>
          <w:rFonts w:ascii="仿宋" w:eastAsia="仿宋" w:hAnsi="仿宋" w:cs="Times New Roman" w:hint="eastAsia"/>
          <w:sz w:val="32"/>
          <w:szCs w:val="32"/>
        </w:rPr>
        <w:t>通过研究生院网站上</w:t>
      </w:r>
      <w:r w:rsidRPr="00C01837">
        <w:rPr>
          <w:rFonts w:ascii="仿宋" w:eastAsia="仿宋" w:hAnsi="仿宋" w:cs="Times New Roman"/>
          <w:sz w:val="32"/>
          <w:szCs w:val="32"/>
        </w:rPr>
        <w:t>发布的</w:t>
      </w:r>
      <w:r w:rsidR="009B162C" w:rsidRPr="00C01837">
        <w:rPr>
          <w:rFonts w:ascii="仿宋" w:eastAsia="仿宋" w:hAnsi="仿宋" w:cs="Times New Roman" w:hint="eastAsia"/>
          <w:sz w:val="32"/>
          <w:szCs w:val="32"/>
        </w:rPr>
        <w:t>“</w:t>
      </w:r>
      <w:r w:rsidR="009B162C" w:rsidRPr="00C01837">
        <w:rPr>
          <w:rFonts w:ascii="仿宋" w:eastAsia="仿宋" w:hAnsi="仿宋" w:cs="Times New Roman"/>
          <w:sz w:val="32"/>
          <w:szCs w:val="32"/>
        </w:rPr>
        <w:t>2022-2023学年第</w:t>
      </w:r>
      <w:r w:rsidR="00F058A1">
        <w:rPr>
          <w:rFonts w:ascii="仿宋" w:eastAsia="仿宋" w:hAnsi="仿宋" w:cs="Times New Roman" w:hint="eastAsia"/>
          <w:sz w:val="32"/>
          <w:szCs w:val="32"/>
        </w:rPr>
        <w:t>二</w:t>
      </w:r>
      <w:r w:rsidR="009B162C" w:rsidRPr="00C01837">
        <w:rPr>
          <w:rFonts w:ascii="仿宋" w:eastAsia="仿宋" w:hAnsi="仿宋" w:cs="Times New Roman"/>
          <w:sz w:val="32"/>
          <w:szCs w:val="32"/>
        </w:rPr>
        <w:t>学期研究生课表</w:t>
      </w:r>
      <w:r w:rsidR="009B162C" w:rsidRPr="00C01837">
        <w:rPr>
          <w:rFonts w:ascii="仿宋" w:eastAsia="仿宋" w:hAnsi="仿宋" w:cs="Times New Roman" w:hint="eastAsia"/>
          <w:sz w:val="32"/>
          <w:szCs w:val="32"/>
        </w:rPr>
        <w:t>”的电子版进行查看，链接地址为：</w:t>
      </w:r>
      <w:r w:rsidR="00F058A1" w:rsidRPr="00F058A1">
        <w:rPr>
          <w:rFonts w:ascii="仿宋" w:eastAsia="仿宋" w:hAnsi="仿宋" w:cs="Times New Roman"/>
          <w:sz w:val="32"/>
          <w:szCs w:val="32"/>
        </w:rPr>
        <w:t>http://yjsy.cupl.edu.cn/info/1137/8352.htm</w:t>
      </w:r>
      <w:r w:rsidR="009B162C" w:rsidRPr="00C01837">
        <w:rPr>
          <w:rFonts w:ascii="仿宋" w:eastAsia="仿宋" w:hAnsi="仿宋" w:cs="Times New Roman" w:hint="eastAsia"/>
          <w:sz w:val="32"/>
          <w:szCs w:val="32"/>
        </w:rPr>
        <w:t>，再在通识任选课课组输入</w:t>
      </w:r>
      <w:r w:rsidR="00805D5B" w:rsidRPr="00C01837">
        <w:rPr>
          <w:rFonts w:ascii="仿宋" w:eastAsia="仿宋" w:hAnsi="仿宋" w:cs="Times New Roman" w:hint="eastAsia"/>
          <w:sz w:val="32"/>
          <w:szCs w:val="32"/>
        </w:rPr>
        <w:t>欲选</w:t>
      </w:r>
      <w:r w:rsidR="009B162C" w:rsidRPr="00C01837">
        <w:rPr>
          <w:rFonts w:ascii="仿宋" w:eastAsia="仿宋" w:hAnsi="仿宋" w:cs="Times New Roman" w:hint="eastAsia"/>
          <w:sz w:val="32"/>
          <w:szCs w:val="32"/>
        </w:rPr>
        <w:t>课程的课程代码或课程名称进行选课</w:t>
      </w:r>
      <w:r w:rsidRPr="00C01837">
        <w:rPr>
          <w:rFonts w:ascii="仿宋" w:eastAsia="仿宋" w:hAnsi="仿宋" w:cs="Times New Roman" w:hint="eastAsia"/>
          <w:sz w:val="32"/>
          <w:szCs w:val="32"/>
        </w:rPr>
        <w:t>。培养方案里的课程一般情况下会在研究生阶段年限内开设完成。</w:t>
      </w:r>
    </w:p>
    <w:sectPr w:rsidR="00E53716" w:rsidRPr="00C01837" w:rsidSect="00D871AD">
      <w:footerReference w:type="default" r:id="rId7"/>
      <w:pgSz w:w="11906" w:h="16838"/>
      <w:pgMar w:top="1260" w:right="1800" w:bottom="81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1B64" w14:textId="77777777" w:rsidR="00E75D47" w:rsidRDefault="00E75D47">
      <w:pPr>
        <w:spacing w:after="0" w:line="240" w:lineRule="auto"/>
      </w:pPr>
      <w:r>
        <w:separator/>
      </w:r>
    </w:p>
  </w:endnote>
  <w:endnote w:type="continuationSeparator" w:id="0">
    <w:p w14:paraId="062D4A36" w14:textId="77777777" w:rsidR="00E75D47" w:rsidRDefault="00E7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3980"/>
    </w:sdtPr>
    <w:sdtEndPr/>
    <w:sdtContent>
      <w:p w14:paraId="2F33D4F9" w14:textId="77777777" w:rsidR="00E53716" w:rsidRDefault="00163CBF">
        <w:pPr>
          <w:pStyle w:val="Footer"/>
          <w:jc w:val="center"/>
        </w:pPr>
        <w:r>
          <w:fldChar w:fldCharType="begin"/>
        </w:r>
        <w:r>
          <w:instrText xml:space="preserve"> PAGE   \* MERGEFORMAT </w:instrText>
        </w:r>
        <w:r>
          <w:fldChar w:fldCharType="separate"/>
        </w:r>
        <w:r>
          <w:t>4</w:t>
        </w:r>
        <w:r>
          <w:fldChar w:fldCharType="end"/>
        </w:r>
      </w:p>
    </w:sdtContent>
  </w:sdt>
  <w:p w14:paraId="727E19B0" w14:textId="77777777" w:rsidR="00E53716" w:rsidRDefault="00E5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FE6A" w14:textId="77777777" w:rsidR="00E75D47" w:rsidRDefault="00E75D47">
      <w:pPr>
        <w:spacing w:after="0" w:line="240" w:lineRule="auto"/>
      </w:pPr>
      <w:r>
        <w:separator/>
      </w:r>
    </w:p>
  </w:footnote>
  <w:footnote w:type="continuationSeparator" w:id="0">
    <w:p w14:paraId="2838D78C" w14:textId="77777777" w:rsidR="00E75D47" w:rsidRDefault="00E75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43"/>
    <w:rsid w:val="00035C11"/>
    <w:rsid w:val="000B1281"/>
    <w:rsid w:val="00163CBF"/>
    <w:rsid w:val="004E3672"/>
    <w:rsid w:val="00805D5B"/>
    <w:rsid w:val="009B162C"/>
    <w:rsid w:val="00B771A3"/>
    <w:rsid w:val="00C01837"/>
    <w:rsid w:val="00D871AD"/>
    <w:rsid w:val="00E53716"/>
    <w:rsid w:val="00E75D47"/>
    <w:rsid w:val="00E91243"/>
    <w:rsid w:val="00F058A1"/>
    <w:rsid w:val="057E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BE50"/>
  <w15:docId w15:val="{99C9DE87-B404-4C48-AD06-009B467E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uiPriority w:val="9"/>
    <w:unhideWhenUsed/>
    <w:qFormat/>
    <w:pPr>
      <w:spacing w:beforeAutospacing="1" w:after="0" w:afterAutospacing="1"/>
      <w:jc w:val="left"/>
      <w:outlineLvl w:val="1"/>
    </w:pPr>
    <w:rPr>
      <w:rFonts w:ascii="宋体" w:eastAsia="宋体" w:hAnsi="宋体" w:cs="Times New Roman" w:hint="eastAsia"/>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UnresolvedMention1">
    <w:name w:val="Unresolved Mention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cupl-yjsy</dc:creator>
  <cp:lastModifiedBy>钟慧文</cp:lastModifiedBy>
  <cp:revision>58</cp:revision>
  <dcterms:created xsi:type="dcterms:W3CDTF">2020-01-03T20:23:00Z</dcterms:created>
  <dcterms:modified xsi:type="dcterms:W3CDTF">2022-12-26T11:18:00Z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89822DF96A813D3B2AD202630B8A18DE</vt:lpwstr>
  </property>
  <property fmtid="{D5CDD505-2E9C-101B-9397-08002B2CF9AE}" pid="3" name="KSOProductBuildVer">
    <vt:lpwstr>2052-11.8.6.8556</vt:lpwstr>
  </property>
</Properties>
</file>